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Abordaje de las Patologías Duales</w:t>
      </w:r>
    </w:p>
    <w:p>
      <w:r>
        <w:t>1. Realizar una evaluación integral para identificar tanto el trastorno mental como el consumo de sustancias.</w:t>
      </w:r>
    </w:p>
    <w:p>
      <w:r>
        <w:t>2. Establecer un plan de tratamiento unificado que contemple ambas condiciones de manera simultánea.</w:t>
      </w:r>
    </w:p>
    <w:p>
      <w:r>
        <w:t>3. Iniciar intervenciones psicoterapéuticas adaptadas a las necesidades del paciente.</w:t>
      </w:r>
    </w:p>
    <w:p>
      <w:r>
        <w:t>4. Valorar el uso de medicación cuando sea indicada por un profesional de salud mental.</w:t>
      </w:r>
    </w:p>
    <w:p>
      <w:r>
        <w:t>5. Involucrar a la familia o red de apoyo para favorecer la adherencia al tratamiento.</w:t>
      </w:r>
    </w:p>
    <w:p>
      <w:r>
        <w:t>6. Trabajar estrategias de prevención de recaídas y manejo de situaciones de riesgo.</w:t>
      </w:r>
    </w:p>
    <w:p>
      <w:r>
        <w:t>7. Realizar seguimientos periódicos para evaluar avances y ajustar el tratamiento.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